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Informácie o udržateľnosti (SFDR)</w:t>
      </w:r>
    </w:p>
    <w:p>
      <w:r>
        <w:t>EQT Ventures s.r.o. | správca ZEPHYR AIF a. s.</w:t>
      </w:r>
    </w:p>
    <w:p>
      <w:r>
        <w:rPr>
          <w:b w:val="0"/>
        </w:rPr>
        <w:t>Tieto informácie sa zverejňujú na úrovni správcu podľa článku 3 ods. 1, článku 4 ods. 1 písm. b) a článku 5 ods. 1 nariadenia Európskeho parlamentu a Rady (EÚ) 2019/2088 o zverejňovaní informácií o udržateľnosti v sektore finančných služieb (ďalej len „SFDR“).</w:t>
      </w:r>
    </w:p>
    <w:p>
      <w:pPr>
        <w:pStyle w:val="Heading1"/>
      </w:pPr>
      <w:r>
        <w:t>Identifikácia správcu a rozsah zverejnenia</w:t>
      </w:r>
    </w:p>
    <w:p>
      <w:r>
        <w:rPr>
          <w:b w:val="0"/>
        </w:rPr>
        <w:t>Správca: EQT Ventures s.r.o., so sídlom Hviezdoslavovo námestie 15, 811 01 Bratislava - mestská časť Staré Mesto, Slovenská republika, IČO: 50 532 481, zapísaná v Obchodnom registri Mestského súdu Bratislava III, oddiel: Sro, vložka č.: 114294/B (ďalej len „Správca“).</w:t>
      </w:r>
    </w:p>
    <w:p>
      <w:r>
        <w:rPr>
          <w:b w:val="0"/>
        </w:rPr>
        <w:t>Fond: ZEPHYR AIF a. s., so sídlom Hviezdoslavovo námestie 15, 811 01 Bratislava - mestská časť Staré Mesto, Slovenská republika, IČO: 51 145 979, zapísaná v Obchodnom registri Mestského súdu Bratislava III, oddiel: Sa, vložka č.: 6679/B, alternatívny investičný fond (AIF) (ďalej len „Fond“).</w:t>
      </w:r>
    </w:p>
    <w:p>
      <w:r>
        <w:rPr>
          <w:b w:val="0"/>
        </w:rPr>
        <w:t>Správca vykonáva správu Fondu ZEPHYR AIF a. s. Správca je registrovaným správcom alternatívnych investičných fondov zapísaným v registri registrovaných správcov alternatívnych investičných fondov vedenom Národnou bankou Slovenska pod registračným číslom 0010. Bol založený výlučne na správu jediného fondu a neposkytuje investičné poradenstvo. Zverejnenie sa poskytuje na úrovni Správcu a vzťahuje sa iba na jeho činnosť pri správe Fondu.</w:t>
      </w:r>
    </w:p>
    <w:p>
      <w:r>
        <w:t>Fond nie je uzavretým fondom obmedzeného okruhu investorov. Základné práva a povinnosti pri správe Fondu vyplývajú zo zmluvnej dokumentácie upravujúcej vzťahy medzi Správcom a Fondom. Fond je založený na dobu neurčitú; jeho trvanie nie je časovo obmedzené dohodami investorov.</w:t>
      </w:r>
    </w:p>
    <w:p>
      <w:pPr>
        <w:pStyle w:val="Heading1"/>
      </w:pPr>
      <w:r>
        <w:t>Transparentnosť politík týkajúcich sa rizík ohrozujúcich udržateľnosť</w:t>
      </w:r>
    </w:p>
    <w:p>
      <w:pPr>
        <w:keepNext/>
      </w:pPr>
      <w:r>
        <w:rPr>
          <w:b/>
        </w:rPr>
        <w:t>Článok 3 ods. 1 SFDR</w:t>
      </w:r>
    </w:p>
    <w:p>
      <w:pPr>
        <w:pStyle w:val="Heading2"/>
      </w:pPr>
      <w:r>
        <w:t>Riziká udržateľnosti a spôsob ich posudzovania</w:t>
      </w:r>
    </w:p>
    <w:p>
      <w:r>
        <w:rPr>
          <w:b w:val="0"/>
        </w:rPr>
        <w:t>Rizikom ohrozujúcim udržateľnosť sa rozumie environmentálna alebo sociálna udalosť alebo stav, alebo udalosť alebo stav v oblasti riadenia a správy, ktoré by mohli mať skutočný alebo potenciálny zásadný negatívny vplyv na hodnotu investície. ESG riziká sú environmentálne riziká, sociálne riziká a riziká spojené s riadením a správou.</w:t>
      </w:r>
    </w:p>
    <w:p>
      <w:r>
        <w:t>Správca posudzuje relevantné riziká udržateľnosti individuálne podľa charakteru investície, jej rizikového profilu a dostupnosti údajov. Nepoužíva jednotný ESG hodnotiaci systém ani vopred určené váhy faktorov udržateľnosti. Rozsah a intenzita posudzovania sú primerané veľkosti portfóliových spoločností, rozsahu a povahe ich činností, investičnej stratégii a dostupným informáciám.</w:t>
      </w:r>
    </w:p>
    <w:p>
      <w:pPr>
        <w:pStyle w:val="Heading2"/>
      </w:pPr>
      <w:r>
        <w:t>Investičná stratégia a rozhodovanie</w:t>
      </w:r>
    </w:p>
    <w:p>
      <w:pPr/>
      <w:r>
        <w:t>Fond má všeobecné odvetvové zameranie. Medzi priority jeho investičnej stratégie patria poľnohospodárstvo a potravinárstvo, tovary a služby spotrebného charakteru, softvér a dátová inteligencia, informačné technológie a odpadové hospodárstvo. V rámci týchto oblastí sleduje aj recykláciu, solárne systémy a inovatívne technológie. Geografické zameranie stratégie zahŕňa Slovenskú republiku, Českú republiku a Maďarsko.</w:t>
      </w:r>
    </w:p>
    <w:p>
      <w:r>
        <w:t>Portfólio Fondu zahŕňa investície v energetike, priemysle a nehnuteľnostiach v regióne strednej Európy. Stratégia zahŕňa konsolidáciu a reštrukturalizáciu aktív a ich financovania, dlhodobú držbu strategických a dividendových investícií, rozvoj a následný predaj aktív a využívanie investičných príležitostí s cieľom optimalizovať výnos.</w:t>
      </w:r>
    </w:p>
    <w:p>
      <w:r>
        <w:t>Správca vykonáva aktívnu správu Fondu v súlade s jeho investičnou stratégiou. Investičné rozhodovanie zahŕňa prípravu investícií, správu a monitorovanie existujúcich investícií, ich držbu, konverziu, speňažovanie alebo distribúciu a načasovanie predaja. Relevantné riziká udržateľnosti sa individuálne posudzujú vo vzťahu k týmto činnostiam.</w:t>
      </w:r>
    </w:p>
    <w:p>
      <w:r>
        <w:t>Za prijaté investičné rozhodnutia zodpovedá Správca, ktorý koná v súlade s platnými právnymi predpismi, investičnou stratégiou, účelom Fondu a príslušnou zmluvnou dokumentáciou. Rozhodnutia prijíma primárne na základe finančných, ekonomických, technologických a trhových kritérií; relevantné riziká udržateľnosti posudzuje v rámci tohto rozhodovania.</w:t>
      </w:r>
    </w:p>
    <w:p>
      <w:pPr>
        <w:pStyle w:val="Heading2"/>
      </w:pPr>
      <w:r>
        <w:t>Dostupnosť údajov a preverovanie investícií</w:t>
      </w:r>
    </w:p>
    <w:p>
      <w:r>
        <w:t>Pri individuálne štruktúrovaných investíciách môže byť dostupnosť štandardizovaných, porovnateľných alebo auditovaných ESG údajov obmedzená. Pri posudzovaní investícií Správca zohľadňuje dostupné primerané, spoľahlivé a overiteľné informácie.</w:t>
      </w:r>
    </w:p>
    <w:p>
      <w:r>
        <w:rPr>
          <w:b w:val="0"/>
        </w:rPr>
        <w:t>Správca sleduje a vyhodnocuje riziká spojené s vývojom environmentálnej politiky a právnych predpisov, ktoré môžu ovplyvniť návratnosť investícií. Medzi posudzované okolnosti patrí oneskorené alebo nedostatočné napĺňanie cieľov v oblasti ochrany životného prostredia alebo udržateľného rozvoja. V rámci preverovania investície Správca zohľadňuje relevantné faktory udržateľnosti, ak môžu mať skutočný alebo potenciálny zásadný negatívny vplyv na hodnotu investície alebo životaschopnosť cieľovej spoločnosti, napríklad súlad s environmentálnou legislatívou.</w:t>
      </w:r>
    </w:p>
    <w:p>
      <w:r>
        <w:rPr>
          <w:b w:val="0"/>
        </w:rPr>
        <w:t>Správca vyžaduje od portfóliových spoločností dodržiavanie štandardov riadenia a správy spoločností, transparentnosti a pravidiel predchádzania konfliktu záujmov. Dôraz sa kladie aj na súlad ich podnikania s aplikovateľnými právnymi predpismi. Transparentnosť riadenia sa zohľadňuje aj pri preverovaní konkrétnej investície.</w:t>
      </w:r>
    </w:p>
    <w:p>
      <w:r>
        <w:t>Ak sa pri individuálnom posúdení investície zistí zvýšené riziko udržateľnosti, ktoré môže ovplyvniť jej hodnotu alebo životaschopnosť, Správca môže prijať príslušné opatrenia vrátane odinvestovania. Pri výbere opatrení zohľadňuje svoje zmluvné kompetencie a právnu a praktickú realizovateľnosť.</w:t>
      </w:r>
    </w:p>
    <w:p>
      <w:pPr>
        <w:pStyle w:val="Heading1"/>
      </w:pPr>
      <w:r>
        <w:t>Nezohľadňovanie nepriaznivých vplyvov investičných rozhodnutí na faktory udržateľnosti</w:t>
      </w:r>
    </w:p>
    <w:p>
      <w:pPr>
        <w:keepNext/>
      </w:pPr>
      <w:r>
        <w:rPr>
          <w:b/>
        </w:rPr>
        <w:t>Článok 4 ods. 1 písm. b) SFDR a článok 12 delegovaného nariadenia Komisie (EÚ) 2022/1288</w:t>
      </w:r>
    </w:p>
    <w:p>
      <w:r>
        <w:rPr>
          <w:b/>
        </w:rPr>
        <w:t>Správca pri správe Fondu v súčasnosti nezohľadňuje nepriaznivé vplyvy svojich investičných rozhodnutí na faktory udržateľnosti podľa článku 4 ods. 1 písm. b) SFDR.</w:t>
      </w:r>
      <w:r>
        <w:rPr>
          <w:rStyle w:val="CommentReference"/>
        </w:rPr>
      </w:r>
    </w:p>
    <w:p>
      <w:r>
        <w:rPr>
          <w:b w:val="0"/>
        </w:rPr>
        <w:t>Faktory udržateľnosti zahŕňajú environmentálne, sociálne alebo zamestnanecké záležitosti, dodržiavanie ľudských práv a boj proti korupcii a úplatkárstvu. PAI označuje hlavné nepriaznivé vplyvy investičných rozhodnutí na faktory udržateľnosti.</w:t>
      </w:r>
      <w:r>
        <w:t xml:space="preserve"> Posudzovanie rizík udržateľnosti sleduje ich vplyv na hodnotu investície; PAI sa týka nepriaznivých vplyvov investičných rozhodnutí na faktory udržateľnosti.</w:t>
      </w:r>
    </w:p>
    <w:p>
      <w:pPr>
        <w:pStyle w:val="Heading2"/>
      </w:pPr>
      <w:r>
        <w:t>Dôvody nezohľadňovania nepriaznivých vplyvov</w:t>
      </w:r>
    </w:p>
    <w:p>
      <w:r>
        <w:t>Dôvodom nezohľadňovania nepriaznivých vplyvov je obmedzená dostupnosť porovnateľných a overiteľných údajov o nepriaznivých vplyvoch investícií do portfóliových spoločností a neúmerná administratívna a finančná záťaž spojená so získavaním chýbajúcich údajov.</w:t>
      </w:r>
      <w:r>
        <w:rPr>
          <w:rStyle w:val="CommentReference"/>
        </w:rPr>
      </w:r>
    </w:p>
    <w:p>
      <w:pPr>
        <w:pStyle w:val="Heading2"/>
      </w:pPr>
      <w:r>
        <w:t>Budúci prístup</w:t>
      </w:r>
    </w:p>
    <w:p>
      <w:r>
        <w:t>Správca v súčasnosti nemá prijatý zámer začať zohľadňovať nepriaznivé vplyvy investičných rozhodnutí podľa ukazovateľov tabuľky 1 prílohy I delegovaného nariadenia Komisie (EÚ) 2022/1288, a preto neurčil termín ich zavedenia. Možnosť zmeniť tento prístup v budúcnosti zostáva otvorená. Ak Správca prijme rozhodnutie začať tieto vplyvy zohľadňovať, zmenu svojho prístupu vrátane termínu začatia zverejní aktualizáciou týchto informácií.</w:t>
      </w:r>
    </w:p>
    <w:p>
      <w:pPr>
        <w:pStyle w:val="Heading1"/>
      </w:pPr>
      <w:r>
        <w:t>Transparentnosť politík odmeňovania vo vzťahu k začleňovaniu rizík ohrozujúcich udržateľnosť</w:t>
      </w:r>
    </w:p>
    <w:p>
      <w:pPr>
        <w:keepNext/>
      </w:pPr>
      <w:r>
        <w:rPr>
          <w:b/>
        </w:rPr>
        <w:t>Článok 5 ods. 1 SFDR</w:t>
      </w:r>
    </w:p>
    <w:p>
      <w:r>
        <w:t>Politika odmeňovania je nastavená v súlade s príslušnými právnymi predpismi, internými pravidlami, obchodnou stratégiou a dlhodobými záujmami Fondu a jeho investorov. Podporuje riadne a efektívne riadenie rizík a obozretný výkon správy. Štruktúra odmeňovania je konzervatívna a nepodnecuje k neprimeranému alebo nadmernému prijímaniu rizík vrátane rizík udržateľnosti. Zároveň neodrádza od prijímania rizík v súlade s investičným profilom Fondu.</w:t>
      </w:r>
    </w:p>
    <w:p>
      <w:r>
        <w:t>Politika odmeňovania zodpovedá individuálnemu posudzovaniu rizík udržateľnosti opísanému vyššie. Jej konzistentnosť spočíva v tom, že zásada nepodnecovania k neprimeranému alebo nadmernému prijímaniu rizík sa vzťahuje aj na riziká udržateľnosti posudzované v investičnom rozhodovaní. Nezahŕňa osobitné ESG kritériá ani väzbu na plnenie konkrétnych ESG cieľov. Absencia osobitných ESG kritérií nemení uvedené zásady obozretného riadenia rizík.</w:t>
      </w:r>
      <w:r>
        <w:rPr>
          <w:rStyle w:val="CommentReference"/>
        </w:rPr>
      </w:r>
    </w:p>
    <w:p>
      <w:r>
        <w:rPr>
          <w:b w:val="0"/>
        </w:rPr>
        <w:t>Kľúčoví pracovníci Správcu patria medzi jeho zakladateľov a vlastníkov, a preto sú priamo motivovaní na úspešnom fungovaní a prosperite Fondu.</w:t>
      </w:r>
    </w:p>
    <w:p>
      <w:pPr>
        <w:pStyle w:val="Heading1"/>
      </w:pPr>
      <w:r>
        <w:t>Zodpovednosť, preskúmavanie a aktualizácia informácií</w:t>
      </w:r>
    </w:p>
    <w:p>
      <w:r>
        <w:rPr>
          <w:b w:val="0"/>
        </w:rPr>
        <w:t>Za implementáciu, dodržiavanie a revíziu politiky zodpovedá štatutárny orgán Správcu.</w:t>
      </w:r>
    </w:p>
    <w:p>
      <w:r>
        <w:rPr>
          <w:b w:val="0"/>
        </w:rPr>
        <w:t>Politika sa preskúmava najmenej raz ročne alebo pri významnej zmene právnych predpisov či investičnej stratégie Fondu. Správca priebežne sleduje vývoj právnych predpisov a metodických usmernení v oblasti udržateľnosti. V prípade zmeny prístupu alebo investičnej stratégie zabezpečí prehodnotenie prístupu a primeranú aktualizáciu politiky.</w:t>
      </w:r>
    </w:p>
    <w:p>
      <w:r>
        <w:t>Správca zverejňuje tieto informácie v samostatnej sekcii svojho webového sídla venovanej udržateľnosti (SFDR), prístupnej investorom a verejnosti. Udržiava ich aktuálne a zmeny zverejňuje bezodkladne spolu s dátumom a vysvetlením úprav na tej istej webovej stránke. Pri informáciách podľa článkov 3 a 5 postupuje podľa článku 12 ods. 1 SFDR; pri informáciách podľa článku 4 podľa tohto článku a príslušných pravidiel delegovaného nariadenia Komisie (EÚ) 2022/1288. Na webovej stránke uvádza dátum prvého zverejnenia a dátum poslednej aktualizácie informácií.</w:t>
      </w:r>
    </w:p>
    <w:p>
      <w:r>
        <w:rPr>
          <w:b w:val="0"/>
        </w:rPr>
        <w:t>Dátum dokumentu: 9. septembra 2026.</w:t>
      </w:r>
      <w:r>
        <w:rPr>
          <w:rStyle w:val="CommentReference"/>
        </w:rPr>
      </w:r>
    </w:p>
    <w:p>
      <w:pPr>
        <w:pStyle w:val="Heading1"/>
      </w:pPr>
      <w:r>
        <w:t>Právny rámec</w:t>
      </w:r>
    </w:p>
    <w:p>
      <w:r>
        <w:rPr>
          <w:b w:val="0"/>
        </w:rPr>
      </w:r>
      <w:hyperlink r:id="rId9">
        <w:r>
          <w:rPr>
            <w:color w:val="365F7D"/>
          </w:rPr>
          <w:t>Nariadenie (EÚ) 2019/2088 (SFDR)</w:t>
        </w:r>
      </w:hyperlink>
    </w:p>
    <w:p>
      <w:r>
        <w:rPr>
          <w:b w:val="0"/>
        </w:rPr>
      </w:r>
      <w:hyperlink r:id="rId10">
        <w:r>
          <w:rPr>
            <w:color w:val="365F7D"/>
          </w:rPr>
          <w:t>Delegované nariadenie Komisie (EÚ) 2022/1288</w:t>
        </w:r>
      </w:hyperlink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Calibri" w:hAnsi="Calibri"/>
      <w:color w:val="202020"/>
      <w:sz w:val="22"/>
      <w:lang w:val="sk-SK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sk-SK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sk-SK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02020"/>
      <w:sz w:val="28"/>
      <w:szCs w:val="28"/>
      <w:lang w:val="sk-S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02020"/>
      <w:sz w:val="22"/>
      <w:szCs w:val="26"/>
      <w:lang w:val="sk-S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sk-S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sk-S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sk-S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sk-S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sk-S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sk-S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sk-SK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202020"/>
      <w:spacing w:val="5"/>
      <w:kern w:val="28"/>
      <w:sz w:val="36"/>
      <w:szCs w:val="52"/>
      <w:lang w:val="sk-SK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k-SK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sk-SK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sk-SK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sk-SK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sk-SK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sk-SK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sk-SK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sk-SK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sk-SK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sk-SK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sk-SK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sk-SK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sk-SK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sk-SK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sk-SK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sk-SK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sk-SK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sk-SK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sk-SK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sk-SK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sk-S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sk-SK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ur-lex.europa.eu/eli/reg/2019/2088/oj?locale=sk" TargetMode="External"/><Relationship Id="rId10" Type="http://schemas.openxmlformats.org/officeDocument/2006/relationships/hyperlink" Target="https://eur-lex.europa.eu/eli/reg_del/2022/1288/oj?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 o udržateľnosti (SFDR) — EQT — 05h</dc:title>
  <dc:subject>05i – uzavreté znenie po potvrdení budúceho prístupu k PAI dňa 8. septembra 2026</dc:subject>
  <dc:creator>EQT Ventures s.r.o.</dc:creator>
  <cp:keywords/>
  <dc:description>generated by python-docx</dc:description>
  <cp:lastModifiedBy>EQT Ventures s.r.o.</cp:lastModifiedBy>
  <cp:revision>1</cp:revision>
  <dcterms:created xsi:type="dcterms:W3CDTF">2013-12-23T23:15:00Z</dcterms:created>
  <dcterms:modified xsi:type="dcterms:W3CDTF">2013-12-23T23:15:00Z</dcterms:modified>
  <cp:category/>
  <dc:language>sk-SK</dc:language>
</cp:coreProperties>
</file>